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8"/>
        <w:ind w:left="8505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cs="Times New Roman" w:ascii="Times New Roman" w:hAnsi="Times New Roman"/>
          <w:sz w:val="28"/>
          <w:szCs w:val="28"/>
        </w:rPr>
        <w:t>Приложение № 2</w:t>
      </w:r>
    </w:p>
    <w:p>
      <w:pPr>
        <w:pStyle w:val="Standard"/>
        <w:ind w:left="8505"/>
        <w:rPr/>
      </w:pPr>
      <w:r>
        <w:rPr>
          <w:sz w:val="28"/>
          <w:szCs w:val="28"/>
        </w:rPr>
        <w:t>к</w:t>
      </w:r>
      <w:bookmarkStart w:id="0" w:name="_GoBack"/>
      <w:bookmarkEnd w:id="0"/>
      <w:r>
        <w:rPr>
          <w:sz w:val="28"/>
          <w:szCs w:val="28"/>
        </w:rPr>
        <w:t xml:space="preserve"> муниципальной подпрограмме </w:t>
      </w:r>
    </w:p>
    <w:p>
      <w:pPr>
        <w:pStyle w:val="Standard"/>
        <w:ind w:left="8505"/>
        <w:rPr/>
      </w:pPr>
      <w:r>
        <w:rPr>
          <w:sz w:val="28"/>
          <w:szCs w:val="28"/>
        </w:rPr>
        <w:t>«Поддержка религиозных организаций традиционных конфессий в Северском районе»</w:t>
      </w:r>
    </w:p>
    <w:p>
      <w:pPr>
        <w:pStyle w:val="Standard"/>
        <w:ind w:left="8280"/>
        <w:jc w:val="center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</w:r>
    </w:p>
    <w:p>
      <w:pPr>
        <w:pStyle w:val="Standard"/>
        <w:ind w:left="8280"/>
        <w:jc w:val="center"/>
        <w:rPr>
          <w:sz w:val="30"/>
          <w:szCs w:val="30"/>
          <w:lang w:val="ru-RU"/>
        </w:rPr>
      </w:pPr>
      <w:r>
        <w:rPr>
          <w:sz w:val="30"/>
          <w:szCs w:val="30"/>
          <w:lang w:val="ru-RU"/>
        </w:rPr>
      </w:r>
    </w:p>
    <w:p>
      <w:pPr>
        <w:pStyle w:val="Normal"/>
        <w:jc w:val="center"/>
        <w:textAlignment w:val="auto"/>
        <w:rPr>
          <w:b/>
          <w:bCs/>
          <w:kern w:val="2"/>
          <w:sz w:val="28"/>
          <w:szCs w:val="28"/>
          <w:lang w:val="ru-RU" w:eastAsia="fa-IR"/>
        </w:rPr>
      </w:pPr>
      <w:r>
        <w:rPr>
          <w:b/>
          <w:bCs/>
          <w:kern w:val="2"/>
          <w:sz w:val="28"/>
          <w:szCs w:val="28"/>
          <w:lang w:val="ru-RU" w:eastAsia="fa-IR"/>
        </w:rPr>
        <w:t>Перечень основных м</w:t>
      </w:r>
      <w:r>
        <w:rPr>
          <w:b/>
          <w:bCs/>
          <w:kern w:val="2"/>
          <w:sz w:val="28"/>
          <w:szCs w:val="28"/>
          <w:lang w:eastAsia="fa-IR"/>
        </w:rPr>
        <w:t>ероприяти</w:t>
      </w:r>
      <w:r>
        <w:rPr>
          <w:b/>
          <w:bCs/>
          <w:kern w:val="2"/>
          <w:sz w:val="28"/>
          <w:szCs w:val="28"/>
          <w:lang w:val="ru-RU" w:eastAsia="fa-IR"/>
        </w:rPr>
        <w:t>й муниципальной подпрограммы</w:t>
      </w:r>
      <w:r>
        <w:rPr>
          <w:b/>
          <w:bCs/>
          <w:kern w:val="2"/>
          <w:sz w:val="28"/>
          <w:szCs w:val="28"/>
          <w:lang w:eastAsia="fa-IR"/>
        </w:rPr>
        <w:t xml:space="preserve"> </w:t>
      </w:r>
    </w:p>
    <w:p>
      <w:pPr>
        <w:pStyle w:val="Normal"/>
        <w:jc w:val="center"/>
        <w:textAlignment w:val="auto"/>
        <w:rPr>
          <w:b/>
          <w:bCs/>
          <w:kern w:val="2"/>
          <w:sz w:val="28"/>
          <w:szCs w:val="28"/>
          <w:lang w:eastAsia="fa-IR"/>
        </w:rPr>
      </w:pPr>
      <w:r>
        <w:rPr>
          <w:b/>
          <w:bCs/>
          <w:sz w:val="28"/>
          <w:szCs w:val="28"/>
        </w:rPr>
        <w:t>«Поддержка религиозных организаций традиционных конфессий в Северском районе</w:t>
      </w:r>
      <w:r>
        <w:rPr>
          <w:b/>
          <w:bCs/>
          <w:kern w:val="2"/>
          <w:sz w:val="28"/>
          <w:szCs w:val="28"/>
          <w:lang w:eastAsia="fa-IR"/>
        </w:rPr>
        <w:t>»</w:t>
      </w:r>
    </w:p>
    <w:p>
      <w:pPr>
        <w:pStyle w:val="Standard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</w:r>
    </w:p>
    <w:tbl>
      <w:tblPr>
        <w:tblW w:w="15125" w:type="dxa"/>
        <w:jc w:val="left"/>
        <w:tblInd w:w="-1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noHBand="0" w:noVBand="1" w:firstColumn="1" w:lastRow="0" w:lastColumn="0" w:firstRow="1"/>
      </w:tblPr>
      <w:tblGrid>
        <w:gridCol w:w="750"/>
        <w:gridCol w:w="6281"/>
        <w:gridCol w:w="1313"/>
        <w:gridCol w:w="1408"/>
        <w:gridCol w:w="921"/>
        <w:gridCol w:w="846"/>
        <w:gridCol w:w="842"/>
        <w:gridCol w:w="2762"/>
      </w:tblGrid>
      <w:tr>
        <w:trPr/>
        <w:tc>
          <w:tcPr>
            <w:tcW w:w="750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№</w:t>
            </w:r>
          </w:p>
          <w:p>
            <w:pPr>
              <w:pStyle w:val="user2"/>
              <w:tabs>
                <w:tab w:val="clear" w:pos="706"/>
                <w:tab w:val="left" w:pos="688" w:leader="none"/>
              </w:tabs>
              <w:jc w:val="center"/>
              <w:rPr/>
            </w:pPr>
            <w:r>
              <w:rPr/>
              <w:t>п/п</w:t>
            </w:r>
          </w:p>
        </w:tc>
        <w:tc>
          <w:tcPr>
            <w:tcW w:w="6281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tabs>
                <w:tab w:val="clear" w:pos="706"/>
                <w:tab w:val="left" w:pos="313" w:leader="none"/>
              </w:tabs>
              <w:jc w:val="center"/>
              <w:rPr/>
            </w:pPr>
            <w:r>
              <w:rPr/>
              <w:t>Наименовани</w:t>
            </w:r>
            <w:r>
              <w:rPr>
                <w:shd w:fill="FFFFFF" w:val="clear"/>
              </w:rPr>
              <w:t xml:space="preserve">я </w:t>
            </w:r>
            <w:r>
              <w:rPr/>
              <w:t>мероприяти</w:t>
            </w:r>
            <w:r>
              <w:rPr>
                <w:lang w:val="ru-RU"/>
              </w:rPr>
              <w:t>я</w:t>
            </w:r>
          </w:p>
        </w:tc>
        <w:tc>
          <w:tcPr>
            <w:tcW w:w="131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Источники финансирования</w:t>
            </w:r>
          </w:p>
        </w:tc>
        <w:tc>
          <w:tcPr>
            <w:tcW w:w="1408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Объем финансирования, всего (тыс.руб.)</w:t>
            </w:r>
          </w:p>
        </w:tc>
        <w:tc>
          <w:tcPr>
            <w:tcW w:w="26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/>
            </w:pPr>
            <w:r>
              <w:rPr/>
              <w:t>В том числе по годам</w:t>
            </w:r>
          </w:p>
        </w:tc>
        <w:tc>
          <w:tcPr>
            <w:tcW w:w="2762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Исполнитель мероприятий</w:t>
            </w:r>
          </w:p>
        </w:tc>
      </w:tr>
      <w:tr>
        <w:trPr/>
        <w:tc>
          <w:tcPr>
            <w:tcW w:w="750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6281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313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1408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  <w:tc>
          <w:tcPr>
            <w:tcW w:w="9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2027</w:t>
            </w:r>
          </w:p>
        </w:tc>
        <w:tc>
          <w:tcPr>
            <w:tcW w:w="84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ru-RU"/>
              </w:rPr>
              <w:t>202</w:t>
            </w:r>
            <w:r>
              <w:rPr>
                <w:rFonts w:cs="Times New Roman"/>
                <w:lang w:val="en-US"/>
              </w:rPr>
              <w:t>8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2029</w:t>
            </w:r>
          </w:p>
        </w:tc>
        <w:tc>
          <w:tcPr>
            <w:tcW w:w="2762" w:type="dxa"/>
            <w:vMerge w:val="continue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rPr>
                <w:rFonts w:cs="Times New Roman"/>
              </w:rPr>
            </w:pPr>
            <w:r>
              <w:rPr>
                <w:rFonts w:cs="Times New Roman"/>
              </w:rPr>
            </w:r>
          </w:p>
        </w:tc>
      </w:tr>
      <w:tr>
        <w:trPr/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1</w:t>
            </w:r>
          </w:p>
        </w:tc>
        <w:tc>
          <w:tcPr>
            <w:tcW w:w="62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2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3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4</w:t>
            </w:r>
          </w:p>
        </w:tc>
        <w:tc>
          <w:tcPr>
            <w:tcW w:w="9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>
                <w:lang w:val="ru-RU"/>
              </w:rPr>
            </w:pPr>
            <w:r>
              <w:rPr/>
              <w:t>5</w:t>
            </w:r>
          </w:p>
        </w:tc>
        <w:tc>
          <w:tcPr>
            <w:tcW w:w="84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6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7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>
        <w:trPr/>
        <w:tc>
          <w:tcPr>
            <w:tcW w:w="15123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1. Процессная часть</w:t>
            </w:r>
          </w:p>
        </w:tc>
      </w:tr>
      <w:tr>
        <w:trPr/>
        <w:tc>
          <w:tcPr>
            <w:tcW w:w="15123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2"/>
              <w:rPr>
                <w:lang w:val="ru-RU"/>
              </w:rPr>
            </w:pPr>
            <w:r>
              <w:rPr/>
              <w:t>Цель</w:t>
            </w:r>
            <w:r>
              <w:rPr>
                <w:lang w:val="ru-RU"/>
              </w:rPr>
              <w:t>: Содействие религиозным организациям традиционных конфессий по решению социально-значимых проблем Северского района.</w:t>
            </w:r>
          </w:p>
          <w:p>
            <w:pPr>
              <w:pStyle w:val="user2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/>
        <w:tc>
          <w:tcPr>
            <w:tcW w:w="15123" w:type="dxa"/>
            <w:gridSpan w:val="8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user2"/>
              <w:rPr>
                <w:color w:val="000000"/>
                <w:lang w:val="ru-RU"/>
              </w:rPr>
            </w:pPr>
            <w:r>
              <w:rPr/>
              <w:t>Задача 1</w:t>
            </w:r>
            <w:r>
              <w:rPr>
                <w:lang w:val="ru-RU"/>
              </w:rPr>
              <w:t xml:space="preserve">: </w:t>
            </w:r>
            <w:r>
              <w:rPr>
                <w:color w:val="000000"/>
                <w:lang w:val="ru-RU"/>
              </w:rPr>
              <w:t>Укрепление сотрудничества органов местного самоуправления Северского района с религиозными организациями традиционных конфессий, осуществляющими свою деятельность на территории района. Предотвращение конфликтных ситуаций между различными религиозными конфессиями посредством проведения мероприятий в общественно-политической и социальной сферах района</w:t>
            </w:r>
          </w:p>
          <w:p>
            <w:pPr>
              <w:pStyle w:val="user2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</w:r>
          </w:p>
        </w:tc>
      </w:tr>
      <w:tr>
        <w:trPr/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1.1.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Standard"/>
              <w:spacing w:lineRule="atLeast" w:line="100"/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Проведение «круглых столов» с участием </w:t>
            </w:r>
            <w:r>
              <w:rPr>
                <w:rFonts w:cs="Times New Roman"/>
                <w:lang w:val="ru-RU"/>
              </w:rPr>
              <w:t>представителей традиционных конфессий и казачества по вопросам духовно-нравственного воспитания населения.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66</w:t>
            </w:r>
            <w:r>
              <w:rPr/>
              <w:t>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22</w:t>
            </w:r>
            <w:r>
              <w:rPr/>
              <w:t>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rPr>
                <w:lang w:val="ru-RU"/>
              </w:rPr>
              <w:t>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22</w:t>
            </w:r>
            <w:r>
              <w:rPr>
                <w:lang w:val="ru-RU"/>
              </w:rPr>
              <w:t>,0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Управление </w:t>
            </w:r>
            <w:r>
              <w:rPr/>
              <w:t>по связям с общественностью</w:t>
            </w:r>
          </w:p>
        </w:tc>
      </w:tr>
      <w:tr>
        <w:trPr>
          <w:trHeight w:val="354" w:hRule="atLeast"/>
        </w:trPr>
        <w:tc>
          <w:tcPr>
            <w:tcW w:w="75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</w:r>
          </w:p>
        </w:tc>
        <w:tc>
          <w:tcPr>
            <w:tcW w:w="62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ИТОГО по разделу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both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66</w:t>
            </w:r>
            <w:r>
              <w:rPr/>
              <w:t>,0</w:t>
            </w:r>
          </w:p>
        </w:tc>
        <w:tc>
          <w:tcPr>
            <w:tcW w:w="9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22</w:t>
            </w:r>
            <w:r>
              <w:rPr/>
              <w:t>,0</w:t>
            </w:r>
          </w:p>
        </w:tc>
        <w:tc>
          <w:tcPr>
            <w:tcW w:w="846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22,0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22,0</w:t>
            </w:r>
          </w:p>
        </w:tc>
        <w:tc>
          <w:tcPr>
            <w:tcW w:w="27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15123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Задача 2: Воспитание гражданственности и патриотизма населения, сохранение традиций, культуры и языка населения Кубани. </w:t>
            </w:r>
            <w:r>
              <w:rPr>
                <w:rFonts w:eastAsia="MinionPro-Regular"/>
              </w:rPr>
              <w:t xml:space="preserve"> </w:t>
            </w:r>
            <w:r>
              <w:rPr/>
              <w:t>Повышение исторической значимости православия как основополагающей конфессии Кубани.</w:t>
            </w:r>
          </w:p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>
          <w:trHeight w:val="276" w:hRule="atLeast"/>
        </w:trPr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3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4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5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/>
            </w:pPr>
            <w:r>
              <w:rPr/>
              <w:t>6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/>
            </w:pPr>
            <w:r>
              <w:rPr/>
              <w:t>7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8</w:t>
            </w:r>
          </w:p>
        </w:tc>
      </w:tr>
      <w:tr>
        <w:trPr>
          <w:trHeight w:val="276" w:hRule="atLeast"/>
        </w:trPr>
        <w:tc>
          <w:tcPr>
            <w:tcW w:w="750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1.2.1</w:t>
            </w:r>
          </w:p>
        </w:tc>
        <w:tc>
          <w:tcPr>
            <w:tcW w:w="6281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Организация и проведение ежегодных мероприятий, связанных с основными праздниками верующих традиционных конфессий.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user2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180,0</w:t>
            </w:r>
          </w:p>
        </w:tc>
        <w:tc>
          <w:tcPr>
            <w:tcW w:w="921" w:type="dxa"/>
            <w:tcBorders>
              <w:left w:val="single" w:sz="2" w:space="0" w:color="000000"/>
              <w:bottom w:val="single" w:sz="4" w:space="0" w:color="000000"/>
            </w:tcBorders>
          </w:tcPr>
          <w:p>
            <w:pPr>
              <w:pStyle w:val="Normal"/>
              <w:jc w:val="center"/>
              <w:rPr/>
            </w:pPr>
            <w:r>
              <w:rPr/>
              <w:t>60,0</w:t>
            </w:r>
          </w:p>
        </w:tc>
        <w:tc>
          <w:tcPr>
            <w:tcW w:w="846" w:type="dxa"/>
            <w:tcBorders>
              <w:left w:val="single" w:sz="2" w:space="0" w:color="000000"/>
              <w:bottom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/>
            </w:pPr>
            <w:r>
              <w:rPr/>
              <w:t>60,0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/>
            </w:pPr>
            <w:r>
              <w:rPr/>
              <w:t>60,0</w:t>
            </w:r>
          </w:p>
        </w:tc>
        <w:tc>
          <w:tcPr>
            <w:tcW w:w="2762" w:type="dxa"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user2"/>
              <w:jc w:val="both"/>
              <w:rPr/>
            </w:pPr>
            <w:r>
              <w:rPr>
                <w:lang w:val="ru-RU"/>
              </w:rPr>
              <w:t xml:space="preserve">Управление </w:t>
            </w:r>
            <w:r>
              <w:rPr/>
              <w:t>по связям с общественностью</w:t>
            </w:r>
            <w:r>
              <w:rPr>
                <w:lang w:val="ru-RU"/>
              </w:rPr>
              <w:t xml:space="preserve"> ;</w:t>
            </w:r>
          </w:p>
          <w:p>
            <w:pPr>
              <w:pStyle w:val="user2"/>
              <w:jc w:val="both"/>
              <w:rPr/>
            </w:pPr>
            <w:r>
              <w:rPr>
                <w:lang w:val="ru-RU"/>
              </w:rPr>
              <w:t>управление культуры администрации МО СР.</w:t>
            </w:r>
          </w:p>
        </w:tc>
      </w:tr>
      <w:tr>
        <w:trPr/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1.2.</w:t>
            </w:r>
            <w:r>
              <w:rPr>
                <w:lang w:val="ru-RU"/>
              </w:rPr>
              <w:t>2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Организация и проведение выставок, ярмарок национального творчества.</w:t>
            </w:r>
          </w:p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both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18,0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6,0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6,0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6,0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2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Управление по связям с общественностью;</w:t>
            </w:r>
          </w:p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управление культуры.</w:t>
            </w:r>
          </w:p>
        </w:tc>
      </w:tr>
      <w:tr>
        <w:trPr>
          <w:trHeight w:val="297" w:hRule="atLeast"/>
        </w:trPr>
        <w:tc>
          <w:tcPr>
            <w:tcW w:w="750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</w:r>
          </w:p>
          <w:p>
            <w:pPr>
              <w:pStyle w:val="user2"/>
              <w:rPr/>
            </w:pPr>
            <w:r>
              <w:rPr/>
            </w:r>
          </w:p>
        </w:tc>
        <w:tc>
          <w:tcPr>
            <w:tcW w:w="6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ИТОГО по разделу</w:t>
            </w:r>
          </w:p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both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198</w:t>
            </w:r>
            <w:r>
              <w:rPr/>
              <w:t>,0</w:t>
            </w:r>
          </w:p>
        </w:tc>
        <w:tc>
          <w:tcPr>
            <w:tcW w:w="9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66</w:t>
            </w:r>
            <w:r>
              <w:rPr/>
              <w:t>,0</w:t>
            </w:r>
          </w:p>
        </w:tc>
        <w:tc>
          <w:tcPr>
            <w:tcW w:w="8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66</w:t>
            </w:r>
            <w:r>
              <w:rPr/>
              <w:t>,0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66,0</w:t>
            </w:r>
          </w:p>
        </w:tc>
        <w:tc>
          <w:tcPr>
            <w:tcW w:w="27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/>
        <w:tc>
          <w:tcPr>
            <w:tcW w:w="15123" w:type="dxa"/>
            <w:gridSpan w:val="8"/>
            <w:tcBorders>
              <w:left w:val="single" w:sz="2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both"/>
              <w:rPr/>
            </w:pPr>
            <w:r>
              <w:rPr>
                <w:lang w:val="ru-RU"/>
              </w:rPr>
              <w:t>Задача 3: Поддержка общественных инициатив и целевых проектов религиозных организаций традиционных конфессий, направленных на духовно-нравственное развитие жителей Северского района</w:t>
            </w:r>
            <w:r>
              <w:rPr/>
              <w:t>.</w:t>
            </w:r>
          </w:p>
        </w:tc>
      </w:tr>
      <w:tr>
        <w:trPr/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1.3.</w:t>
            </w:r>
            <w:r>
              <w:rPr>
                <w:lang w:val="ru-RU"/>
              </w:rPr>
              <w:t>1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rPr>
                <w:lang w:val="ru-RU"/>
              </w:rPr>
            </w:pPr>
            <w:r>
              <w:rPr>
                <w:lang w:val="ru-RU"/>
              </w:rPr>
              <w:t>Организация регулярных встреч органов местного самоуправления Северского района с представителями традиционных конфессий по вопросу духовно-нравственного воспитания населения.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both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4</w:t>
            </w:r>
            <w:r>
              <w:rPr/>
              <w:t>8,0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1</w:t>
            </w:r>
            <w:r>
              <w:rPr/>
              <w:t>6,0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1</w:t>
            </w:r>
            <w:r>
              <w:rPr/>
              <w:t>6,0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16,0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rPr>
                <w:lang w:val="ru-RU"/>
              </w:rPr>
            </w:pPr>
            <w:r>
              <w:rPr>
                <w:lang w:val="ru-RU"/>
              </w:rPr>
              <w:t>Управление по связям с общественностью.</w:t>
            </w:r>
          </w:p>
        </w:tc>
      </w:tr>
      <w:tr>
        <w:trPr>
          <w:trHeight w:val="311" w:hRule="atLeast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1.3.</w:t>
            </w:r>
            <w:r>
              <w:rPr>
                <w:lang w:val="ru-RU"/>
              </w:rPr>
              <w:t>2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rPr>
                <w:lang w:val="ru-RU"/>
              </w:rPr>
            </w:pPr>
            <w:r>
              <w:rPr>
                <w:lang w:val="ru-RU"/>
              </w:rPr>
              <w:t>Организация и проведение выставки народного творчества на тему «Православие Кубани»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both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en-US"/>
              </w:rPr>
              <w:t>18</w:t>
            </w:r>
            <w:r>
              <w:rPr/>
              <w:t>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6,0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6,0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6,0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rPr>
                <w:lang w:val="ru-RU"/>
              </w:rPr>
            </w:pPr>
            <w:r>
              <w:rPr>
                <w:lang w:val="ru-RU"/>
              </w:rPr>
              <w:t>Управление по связям с общественностью;</w:t>
            </w:r>
          </w:p>
          <w:p>
            <w:pPr>
              <w:pStyle w:val="user2"/>
              <w:rPr>
                <w:lang w:val="ru-RU"/>
              </w:rPr>
            </w:pPr>
            <w:r>
              <w:rPr>
                <w:lang w:val="ru-RU"/>
              </w:rPr>
              <w:t>управление культуры.</w:t>
            </w:r>
          </w:p>
        </w:tc>
      </w:tr>
      <w:tr>
        <w:trPr/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</w:r>
          </w:p>
        </w:tc>
        <w:tc>
          <w:tcPr>
            <w:tcW w:w="62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rPr>
                <w:lang w:val="ru-RU"/>
              </w:rPr>
            </w:pPr>
            <w:r>
              <w:rPr>
                <w:lang w:val="ru-RU"/>
              </w:rPr>
              <w:t>ИТОГО по разделу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both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66</w:t>
            </w:r>
            <w:r>
              <w:rPr/>
              <w:t>,0</w:t>
            </w:r>
          </w:p>
        </w:tc>
        <w:tc>
          <w:tcPr>
            <w:tcW w:w="9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2</w:t>
            </w:r>
            <w:r>
              <w:rPr/>
              <w:t>2,0</w:t>
            </w:r>
          </w:p>
        </w:tc>
        <w:tc>
          <w:tcPr>
            <w:tcW w:w="8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ru-RU"/>
              </w:rPr>
              <w:t>2</w:t>
            </w:r>
            <w:r>
              <w:rPr/>
              <w:t>2,0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22,0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/>
        <w:tc>
          <w:tcPr>
            <w:tcW w:w="15123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Задача 4: И</w:t>
            </w:r>
            <w:r>
              <w:rPr>
                <w:sz w:val="24"/>
                <w:szCs w:val="24"/>
                <w:lang w:val="ru-RU"/>
              </w:rPr>
              <w:t>нформирование населения о деятельности и поддержке религиозных организаций традиционных конфессий через средства массовой информации и печатные материалы.</w:t>
            </w:r>
          </w:p>
        </w:tc>
      </w:tr>
      <w:tr>
        <w:trPr>
          <w:trHeight w:val="87" w:hRule="atLeast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1.4.</w:t>
            </w:r>
            <w:r>
              <w:rPr>
                <w:lang w:val="ru-RU"/>
              </w:rPr>
              <w:t>1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Изготовление печатной продукции по вопросам поддержки религиозных организаций традиционных конфессий в Северском районе.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both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en-US"/>
              </w:rPr>
              <w:t>150</w:t>
            </w:r>
            <w:r>
              <w:rPr/>
              <w:t>,0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50,0</w:t>
            </w:r>
          </w:p>
        </w:tc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50,0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50,0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Управление связям с общественностью.</w:t>
            </w:r>
          </w:p>
        </w:tc>
      </w:tr>
      <w:tr>
        <w:trPr>
          <w:trHeight w:val="157" w:hRule="atLeast"/>
        </w:trPr>
        <w:tc>
          <w:tcPr>
            <w:tcW w:w="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1.4.</w:t>
            </w:r>
            <w:r>
              <w:rPr>
                <w:lang w:val="ru-RU"/>
              </w:rPr>
              <w:t>2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Освещение деятельности религиозных организаций традиционных конфессий в средствах массовой информации района.</w:t>
            </w:r>
          </w:p>
        </w:tc>
        <w:tc>
          <w:tcPr>
            <w:tcW w:w="13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both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en-US"/>
              </w:rPr>
              <w:t>120</w:t>
            </w:r>
            <w:r>
              <w:rPr/>
              <w:t>,0</w:t>
            </w:r>
          </w:p>
        </w:tc>
        <w:tc>
          <w:tcPr>
            <w:tcW w:w="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40,0</w:t>
            </w:r>
          </w:p>
        </w:tc>
        <w:tc>
          <w:tcPr>
            <w:tcW w:w="8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40,0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40,0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Управление связям с общественностью</w:t>
            </w:r>
          </w:p>
        </w:tc>
      </w:tr>
      <w:tr>
        <w:trPr/>
        <w:tc>
          <w:tcPr>
            <w:tcW w:w="75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1</w:t>
            </w:r>
          </w:p>
        </w:tc>
        <w:tc>
          <w:tcPr>
            <w:tcW w:w="6281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3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4</w:t>
            </w:r>
          </w:p>
        </w:tc>
        <w:tc>
          <w:tcPr>
            <w:tcW w:w="9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5</w:t>
            </w:r>
          </w:p>
        </w:tc>
        <w:tc>
          <w:tcPr>
            <w:tcW w:w="8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6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7</w:t>
            </w:r>
          </w:p>
        </w:tc>
        <w:tc>
          <w:tcPr>
            <w:tcW w:w="2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lang w:val="ru-RU"/>
              </w:rPr>
            </w:pPr>
            <w:r>
              <w:rPr>
                <w:lang w:val="ru-RU"/>
              </w:rPr>
              <w:t>8</w:t>
            </w:r>
          </w:p>
        </w:tc>
      </w:tr>
      <w:tr>
        <w:trPr/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</w:r>
          </w:p>
        </w:tc>
        <w:tc>
          <w:tcPr>
            <w:tcW w:w="62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ИТОГО по разделу</w:t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both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en-US"/>
              </w:rPr>
              <w:t>270</w:t>
            </w:r>
            <w:r>
              <w:rPr/>
              <w:t>,0</w:t>
            </w:r>
          </w:p>
        </w:tc>
        <w:tc>
          <w:tcPr>
            <w:tcW w:w="9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90,0</w:t>
            </w:r>
          </w:p>
        </w:tc>
        <w:tc>
          <w:tcPr>
            <w:tcW w:w="8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90,0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90,0</w:t>
            </w:r>
          </w:p>
        </w:tc>
        <w:tc>
          <w:tcPr>
            <w:tcW w:w="27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rPr>
                <w:lang w:val="ru-RU"/>
              </w:rPr>
            </w:pPr>
            <w:r>
              <w:rPr>
                <w:lang w:val="ru-RU"/>
              </w:rPr>
            </w:r>
          </w:p>
        </w:tc>
      </w:tr>
      <w:tr>
        <w:trPr/>
        <w:tc>
          <w:tcPr>
            <w:tcW w:w="15123" w:type="dxa"/>
            <w:gridSpan w:val="8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2. Проектная часть отсутствует</w:t>
            </w:r>
          </w:p>
        </w:tc>
      </w:tr>
      <w:tr>
        <w:trPr/>
        <w:tc>
          <w:tcPr>
            <w:tcW w:w="750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</w:r>
          </w:p>
        </w:tc>
        <w:tc>
          <w:tcPr>
            <w:tcW w:w="628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  <w:t>ВСЕГО по подпрограмме</w:t>
            </w:r>
          </w:p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</w:r>
          </w:p>
          <w:p>
            <w:pPr>
              <w:pStyle w:val="user2"/>
              <w:jc w:val="both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1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both"/>
              <w:rPr/>
            </w:pPr>
            <w:r>
              <w:rPr/>
              <w:t>Местный бюджет</w:t>
            </w:r>
          </w:p>
        </w:tc>
        <w:tc>
          <w:tcPr>
            <w:tcW w:w="1408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>
                <w:lang w:val="en-US"/>
              </w:rPr>
              <w:t>60</w:t>
            </w:r>
            <w:r>
              <w:rPr/>
              <w:t>0,0</w:t>
            </w:r>
          </w:p>
        </w:tc>
        <w:tc>
          <w:tcPr>
            <w:tcW w:w="921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200,0</w:t>
            </w:r>
          </w:p>
        </w:tc>
        <w:tc>
          <w:tcPr>
            <w:tcW w:w="846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user2"/>
              <w:jc w:val="center"/>
              <w:rPr/>
            </w:pPr>
            <w:r>
              <w:rPr/>
              <w:t>200,0</w:t>
            </w:r>
          </w:p>
        </w:tc>
        <w:tc>
          <w:tcPr>
            <w:tcW w:w="842" w:type="dxa"/>
            <w:tcBorders>
              <w:left w:val="single" w:sz="2" w:space="0" w:color="000000"/>
              <w:bottom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ru-RU"/>
              </w:rPr>
            </w:pPr>
            <w:r>
              <w:rPr>
                <w:lang w:val="ru-RU"/>
              </w:rPr>
              <w:t>200,0</w:t>
            </w:r>
          </w:p>
        </w:tc>
        <w:tc>
          <w:tcPr>
            <w:tcW w:w="2762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user2"/>
              <w:jc w:val="center"/>
              <w:rPr>
                <w:lang w:val="en-US"/>
              </w:rPr>
            </w:pPr>
            <w:r>
              <w:rPr>
                <w:lang w:val="en-US"/>
              </w:rPr>
            </w:r>
          </w:p>
        </w:tc>
      </w:tr>
    </w:tbl>
    <w:p>
      <w:pPr>
        <w:pStyle w:val="Standard"/>
        <w:jc w:val="both"/>
        <w:rPr>
          <w:sz w:val="27"/>
          <w:szCs w:val="27"/>
        </w:rPr>
      </w:pPr>
      <w:r>
        <w:rPr>
          <w:sz w:val="27"/>
          <w:szCs w:val="27"/>
        </w:rPr>
      </w:r>
    </w:p>
    <w:p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Standard"/>
        <w:widowControl w:val="false"/>
        <w:suppressAutoHyphens w:val="true"/>
        <w:bidi w:val="0"/>
        <w:spacing w:before="0" w:after="0"/>
        <w:ind w:hanging="0" w:left="-397" w:right="-397"/>
        <w:jc w:val="both"/>
        <w:textAlignment w:val="baseline"/>
        <w:rPr/>
      </w:pPr>
      <w:r>
        <w:rPr>
          <w:sz w:val="28"/>
          <w:szCs w:val="28"/>
          <w:lang w:val="ru-RU"/>
        </w:rPr>
        <w:t>Начальник управления</w:t>
      </w:r>
    </w:p>
    <w:p>
      <w:pPr>
        <w:pStyle w:val="Standard"/>
        <w:widowControl w:val="false"/>
        <w:suppressAutoHyphens w:val="true"/>
        <w:bidi w:val="0"/>
        <w:spacing w:before="0" w:after="0"/>
        <w:ind w:hanging="0" w:left="-397" w:right="-397"/>
        <w:jc w:val="both"/>
        <w:textAlignment w:val="baseline"/>
        <w:rPr/>
      </w:pPr>
      <w:r>
        <w:rPr>
          <w:sz w:val="28"/>
          <w:szCs w:val="28"/>
          <w:lang w:val="ru-RU"/>
        </w:rPr>
        <w:t>по связям с общественностью</w:t>
        <w:tab/>
        <w:tab/>
        <w:tab/>
        <w:tab/>
        <w:tab/>
        <w:tab/>
        <w:tab/>
        <w:tab/>
        <w:tab/>
        <w:tab/>
        <w:tab/>
        <w:tab/>
        <w:t xml:space="preserve">                        В.В.Снимщиков</w:t>
      </w:r>
    </w:p>
    <w:sectPr>
      <w:headerReference w:type="even" r:id="rId2"/>
      <w:headerReference w:type="default" r:id="rId3"/>
      <w:headerReference w:type="first" r:id="rId4"/>
      <w:type w:val="nextPage"/>
      <w:pgSz w:orient="landscape" w:w="16838" w:h="11906"/>
      <w:pgMar w:left="1134" w:right="1134" w:gutter="0" w:header="720" w:top="1559" w:footer="0" w:bottom="748"/>
      <w:pgNumType w:fmt="decimal"/>
      <w:formProt w:val="false"/>
      <w:titlePg/>
      <w:textDirection w:val="lrTb"/>
      <w:docGrid w:type="default" w:linePitch="326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Arial">
    <w:charset w:val="01"/>
    <w:family w:val="swiss"/>
    <w:pitch w:val="default"/>
  </w:font>
  <w:font w:name="Courier New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docPartObj>
        <w:docPartGallery w:val="AutoText"/>
      </w:docPartObj>
      <w:id w:val="1108773827"/>
    </w:sdtPr>
    <w:sdtContent>
      <w:p>
        <w:pPr>
          <w:pStyle w:val="Header"/>
          <w:jc w:val="center"/>
          <w:rPr/>
        </w:pPr>
        <w:r>
          <w:rPr/>
          <w:fldChar w:fldCharType="begin"/>
        </w:r>
        <w:r>
          <w:rPr/>
          <w:instrText xml:space="preserve"> PAGE </w:instrText>
        </w:r>
        <w:r>
          <w:rPr/>
          <w:fldChar w:fldCharType="separate"/>
        </w:r>
        <w:r>
          <w:rPr/>
          <w:t>3</w:t>
        </w:r>
        <w:r>
          <w:rPr/>
          <w:fldChar w:fldCharType="end"/>
        </w:r>
      </w:p>
    </w:sdtContent>
  </w:sdt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96"/>
  <w:defaultTabStop w:val="706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ndale Sans UI" w:cs="Tahoma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rPr/>
  </w:style>
  <w:style w:type="character" w:styleId="Style15" w:customStyle="1">
    <w:name w:val="Нижний колонтитул Знак"/>
    <w:basedOn w:val="DefaultParagraphFont"/>
    <w:uiPriority w:val="99"/>
    <w:qFormat/>
    <w:rPr/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qFormat/>
    <w:pPr/>
    <w:rPr/>
  </w:style>
  <w:style w:type="paragraph" w:styleId="Caption">
    <w:name w:val="caption"/>
    <w:basedOn w:val="Standard"/>
    <w:qFormat/>
    <w:pPr>
      <w:suppressLineNumbers/>
      <w:spacing w:before="120" w:after="120"/>
    </w:pPr>
    <w:rPr>
      <w:i/>
      <w:iCs/>
    </w:rPr>
  </w:style>
  <w:style w:type="paragraph" w:styleId="Style17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user" w:customStyle="1">
    <w:name w:val="Заголовок (user)"/>
    <w:basedOn w:val="Standard"/>
    <w:next w:val="Textbody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user1" w:customStyle="1">
    <w:name w:val="Указатель (user)"/>
    <w:basedOn w:val="Standard"/>
    <w:qFormat/>
    <w:pPr>
      <w:suppressLineNumbers/>
    </w:pPr>
    <w:rPr/>
  </w:style>
  <w:style w:type="paragraph" w:styleId="Standard" w:customStyle="1">
    <w:name w:val="Standard"/>
    <w:qFormat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de-DE" w:eastAsia="ja-JP" w:bidi="fa-IR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14"/>
    <w:uiPriority w:val="99"/>
    <w:unhideWhenUsed/>
    <w:qFormat/>
    <w:pPr>
      <w:tabs>
        <w:tab w:val="clear" w:pos="706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15"/>
    <w:uiPriority w:val="99"/>
    <w:unhideWhenUsed/>
    <w:qFormat/>
    <w:pPr>
      <w:tabs>
        <w:tab w:val="clear" w:pos="706"/>
        <w:tab w:val="center" w:pos="4677" w:leader="none"/>
        <w:tab w:val="right" w:pos="9355" w:leader="none"/>
      </w:tabs>
    </w:pPr>
    <w:rPr/>
  </w:style>
  <w:style w:type="paragraph" w:styleId="Textbody" w:customStyle="1">
    <w:name w:val="Text body"/>
    <w:basedOn w:val="Standard"/>
    <w:qFormat/>
    <w:pPr>
      <w:spacing w:before="0" w:after="120"/>
    </w:pPr>
    <w:rPr/>
  </w:style>
  <w:style w:type="paragraph" w:styleId="Style18" w:customStyle="1">
    <w:name w:val="Таблицы (моноширинный)"/>
    <w:basedOn w:val="Standard"/>
    <w:qFormat/>
    <w:pPr>
      <w:jc w:val="both"/>
    </w:pPr>
    <w:rPr>
      <w:rFonts w:ascii="Courier New" w:hAnsi="Courier New" w:cs="Courier New"/>
      <w:sz w:val="18"/>
      <w:szCs w:val="18"/>
    </w:rPr>
  </w:style>
  <w:style w:type="paragraph" w:styleId="user2" w:customStyle="1">
    <w:name w:val="Содержимое таблицы (user)"/>
    <w:basedOn w:val="Standard"/>
    <w:qFormat/>
    <w:pPr>
      <w:suppressLineNumbers/>
      <w:spacing w:lineRule="atLeast" w:line="100"/>
    </w:pPr>
    <w:rPr>
      <w:rFonts w:cs="Times New Roman"/>
    </w:rPr>
  </w:style>
  <w:style w:type="paragraph" w:styleId="user3" w:customStyle="1">
    <w:name w:val="Заголовок таблицы (user)"/>
    <w:basedOn w:val="user2"/>
    <w:qFormat/>
    <w:pPr>
      <w:jc w:val="center"/>
    </w:pPr>
    <w:rPr>
      <w:b/>
      <w:bCs/>
    </w:rPr>
  </w:style>
  <w:style w:type="paragraph" w:styleId="Style19">
    <w:name w:val="Содержимое таблицы"/>
    <w:basedOn w:val="Normal"/>
    <w:qFormat/>
    <w:pPr>
      <w:widowControl w:val="false"/>
      <w:suppressLineNumbers/>
    </w:pPr>
    <w:rPr/>
  </w:style>
  <w:style w:type="paragraph" w:styleId="Style20">
    <w:name w:val="Заголовок таблицы"/>
    <w:basedOn w:val="Style19"/>
    <w:qFormat/>
    <w:pPr>
      <w:suppressLineNumbers/>
      <w:jc w:val="center"/>
    </w:pPr>
    <w:rPr>
      <w:b/>
      <w:bCs/>
    </w:rPr>
  </w:style>
  <w:style w:type="numbering" w:styleId="user4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Application>LibreOffice/25.2.3.2$Linux_X86_64 LibreOffice_project/520$Build-2</Application>
  <AppVersion>15.0000</AppVersion>
  <Pages>3</Pages>
  <Words>416</Words>
  <Characters>2929</Characters>
  <CharactersWithSpaces>3245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2023-08-11T06:56:00Z</dcterms:created>
  <dc:creator>Долецкая Анна Валерьевна</dc:creator>
  <dc:description/>
  <dc:language>ru-RU</dc:language>
  <cp:lastModifiedBy/>
  <cp:lastPrinted>2025-08-19T09:22:00Z</cp:lastPrinted>
  <dcterms:modified xsi:type="dcterms:W3CDTF">2026-08-12T15:20:36Z</dcterms:modified>
  <cp:revision>26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4196B0FEFC0A4639984ECA7AD7A7E4F6_12</vt:lpwstr>
  </property>
  <property fmtid="{D5CDD505-2E9C-101B-9397-08002B2CF9AE}" pid="3" name="Info 1">
    <vt:lpwstr/>
  </property>
  <property fmtid="{D5CDD505-2E9C-101B-9397-08002B2CF9AE}" pid="4" name="Info 2">
    <vt:lpwstr/>
  </property>
  <property fmtid="{D5CDD505-2E9C-101B-9397-08002B2CF9AE}" pid="5" name="Info 3">
    <vt:lpwstr/>
  </property>
  <property fmtid="{D5CDD505-2E9C-101B-9397-08002B2CF9AE}" pid="6" name="Info 4">
    <vt:lpwstr/>
  </property>
  <property fmtid="{D5CDD505-2E9C-101B-9397-08002B2CF9AE}" pid="7" name="KSOProductBuildVer">
    <vt:lpwstr>1049-12.1.0.26880</vt:lpwstr>
  </property>
  <property fmtid="{D5CDD505-2E9C-101B-9397-08002B2CF9AE}" pid="8" name="KSOTemplateDocerSaveRecord">
    <vt:lpwstr>eyJoZGlkIjoiMWIzN2U1MThiZjBhYmE5ZThjNWU0MzJjYjBjOTAwYjEifQ==</vt:lpwstr>
  </property>
</Properties>
</file>